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D0" w:rsidRPr="00F134AC" w:rsidRDefault="003165CC" w:rsidP="00522FD0">
      <w:pPr>
        <w:jc w:val="left"/>
        <w:rPr>
          <w:szCs w:val="24"/>
        </w:rPr>
      </w:pPr>
      <w:r w:rsidRPr="00F134AC">
        <w:rPr>
          <w:szCs w:val="24"/>
        </w:rPr>
        <w:t>Datum: 2</w:t>
      </w:r>
      <w:r w:rsidR="009F7C62" w:rsidRPr="00F134AC">
        <w:rPr>
          <w:szCs w:val="24"/>
        </w:rPr>
        <w:t>7</w:t>
      </w:r>
      <w:r w:rsidR="009168A1" w:rsidRPr="00F134AC">
        <w:rPr>
          <w:szCs w:val="24"/>
        </w:rPr>
        <w:t>.8</w:t>
      </w:r>
      <w:r w:rsidR="009F7C62" w:rsidRPr="00F134AC">
        <w:rPr>
          <w:szCs w:val="24"/>
        </w:rPr>
        <w:t>.2020</w:t>
      </w:r>
    </w:p>
    <w:p w:rsidR="00F134AC" w:rsidRDefault="00F134AC" w:rsidP="00F134AC">
      <w:pPr>
        <w:rPr>
          <w:b/>
          <w:szCs w:val="24"/>
        </w:rPr>
      </w:pPr>
    </w:p>
    <w:p w:rsidR="00AA6196" w:rsidRPr="00F134AC" w:rsidRDefault="00AA6196" w:rsidP="00F134AC">
      <w:pPr>
        <w:rPr>
          <w:b/>
          <w:szCs w:val="24"/>
        </w:rPr>
      </w:pPr>
    </w:p>
    <w:p w:rsidR="00522FD0" w:rsidRPr="009D0247" w:rsidRDefault="00522FD0" w:rsidP="00522FD0">
      <w:pPr>
        <w:jc w:val="center"/>
        <w:rPr>
          <w:b/>
          <w:szCs w:val="24"/>
        </w:rPr>
      </w:pPr>
      <w:r w:rsidRPr="009D0247">
        <w:rPr>
          <w:b/>
          <w:szCs w:val="24"/>
        </w:rPr>
        <w:t>O B V E S T I L O</w:t>
      </w:r>
    </w:p>
    <w:p w:rsidR="00022997" w:rsidRPr="009D0247" w:rsidRDefault="00022997" w:rsidP="00522FD0">
      <w:pPr>
        <w:jc w:val="center"/>
        <w:rPr>
          <w:b/>
          <w:szCs w:val="24"/>
        </w:rPr>
      </w:pPr>
    </w:p>
    <w:p w:rsidR="002E4855" w:rsidRPr="009D0247" w:rsidRDefault="002E4855" w:rsidP="00522FD0">
      <w:pPr>
        <w:jc w:val="center"/>
        <w:rPr>
          <w:b/>
          <w:szCs w:val="24"/>
        </w:rPr>
      </w:pPr>
      <w:r w:rsidRPr="009D0247">
        <w:rPr>
          <w:b/>
          <w:szCs w:val="24"/>
        </w:rPr>
        <w:t>Vlogo za določitev letnega načrta dovolilnic za leto 20</w:t>
      </w:r>
      <w:r w:rsidR="00396381" w:rsidRPr="009D0247">
        <w:rPr>
          <w:b/>
          <w:szCs w:val="24"/>
        </w:rPr>
        <w:t>2</w:t>
      </w:r>
      <w:r w:rsidR="009F7C62" w:rsidRPr="009D0247">
        <w:rPr>
          <w:b/>
          <w:szCs w:val="24"/>
        </w:rPr>
        <w:t>1</w:t>
      </w:r>
    </w:p>
    <w:p w:rsidR="00522FD0" w:rsidRPr="009D0247" w:rsidRDefault="002E4855" w:rsidP="00522FD0">
      <w:pPr>
        <w:jc w:val="center"/>
        <w:rPr>
          <w:b/>
          <w:szCs w:val="24"/>
        </w:rPr>
      </w:pPr>
      <w:r w:rsidRPr="009D0247">
        <w:rPr>
          <w:b/>
          <w:szCs w:val="24"/>
        </w:rPr>
        <w:t>oddajte med 1. in 15. septembrom 2</w:t>
      </w:r>
      <w:r w:rsidR="009F7C62" w:rsidRPr="009D0247">
        <w:rPr>
          <w:b/>
          <w:szCs w:val="24"/>
        </w:rPr>
        <w:t>020</w:t>
      </w:r>
    </w:p>
    <w:p w:rsidR="00F134AC" w:rsidRPr="00F134AC" w:rsidRDefault="00F134AC" w:rsidP="00522FD0">
      <w:pPr>
        <w:rPr>
          <w:szCs w:val="24"/>
        </w:rPr>
      </w:pPr>
    </w:p>
    <w:p w:rsidR="00522FD0" w:rsidRPr="00F134AC" w:rsidRDefault="00522FD0" w:rsidP="00522FD0">
      <w:pPr>
        <w:rPr>
          <w:szCs w:val="24"/>
        </w:rPr>
      </w:pPr>
      <w:r w:rsidRPr="00F134AC">
        <w:rPr>
          <w:szCs w:val="24"/>
        </w:rPr>
        <w:t>Spoštovani,</w:t>
      </w:r>
    </w:p>
    <w:p w:rsidR="00522FD0" w:rsidRPr="00F134AC" w:rsidRDefault="00522FD0" w:rsidP="00522FD0">
      <w:pPr>
        <w:rPr>
          <w:szCs w:val="24"/>
        </w:rPr>
      </w:pPr>
    </w:p>
    <w:p w:rsidR="00A049EB" w:rsidRPr="00F134AC" w:rsidRDefault="00A049EB" w:rsidP="00522FD0">
      <w:pPr>
        <w:rPr>
          <w:szCs w:val="24"/>
        </w:rPr>
      </w:pPr>
      <w:r w:rsidRPr="00F134AC">
        <w:rPr>
          <w:szCs w:val="24"/>
        </w:rPr>
        <w:t>v</w:t>
      </w:r>
      <w:r w:rsidR="00522FD0" w:rsidRPr="00F134AC">
        <w:rPr>
          <w:szCs w:val="24"/>
        </w:rPr>
        <w:t xml:space="preserve"> skladu z določili 90. člena Zakona o prevozih v cestnem prometu (Uradni list RS št.</w:t>
      </w:r>
      <w:r w:rsidR="00A24360" w:rsidRPr="00F134AC">
        <w:rPr>
          <w:szCs w:val="24"/>
        </w:rPr>
        <w:t xml:space="preserve"> 6/16-</w:t>
      </w:r>
      <w:r w:rsidR="00D579DB" w:rsidRPr="00F134AC">
        <w:rPr>
          <w:szCs w:val="24"/>
          <w:lang w:eastAsia="sl-SI"/>
        </w:rPr>
        <w:t>UPB</w:t>
      </w:r>
      <w:r w:rsidR="00D579DB" w:rsidRPr="00F134AC">
        <w:rPr>
          <w:szCs w:val="24"/>
          <w:lang w:eastAsia="sl-SI"/>
        </w:rPr>
        <w:t>, 67/19 - ZPCP-2G)</w:t>
      </w:r>
      <w:r w:rsidR="00522FD0" w:rsidRPr="00F134AC">
        <w:rPr>
          <w:szCs w:val="24"/>
        </w:rPr>
        <w:t xml:space="preserve">, </w:t>
      </w:r>
      <w:r w:rsidRPr="00F134AC">
        <w:rPr>
          <w:szCs w:val="24"/>
        </w:rPr>
        <w:t xml:space="preserve">mora prevoznik, ki želi, da mu delivec določi letni načrt dodelitve dovolilnic za naslednje leto, v tekočem letu </w:t>
      </w:r>
      <w:r w:rsidRPr="00F134AC">
        <w:rPr>
          <w:b/>
          <w:szCs w:val="24"/>
        </w:rPr>
        <w:t>med 1. in 15. septembrom pri delivcu vložiti vlogo za določitev letnega načrta</w:t>
      </w:r>
      <w:r w:rsidRPr="00F134AC">
        <w:rPr>
          <w:szCs w:val="24"/>
        </w:rPr>
        <w:t xml:space="preserve">. V vlogi za določitev letnega načrta prevoznik navede vrste in število dovolilnic, ki jih želi pridobiti. </w:t>
      </w:r>
    </w:p>
    <w:p w:rsidR="00A049EB" w:rsidRPr="00F134AC" w:rsidRDefault="00A049EB" w:rsidP="00522FD0">
      <w:pPr>
        <w:rPr>
          <w:szCs w:val="24"/>
        </w:rPr>
      </w:pPr>
    </w:p>
    <w:p w:rsidR="004F05D5" w:rsidRPr="00F134AC" w:rsidRDefault="004F05D5" w:rsidP="004F05D5">
      <w:pPr>
        <w:rPr>
          <w:szCs w:val="24"/>
        </w:rPr>
      </w:pPr>
      <w:r w:rsidRPr="00F134AC">
        <w:rPr>
          <w:b/>
          <w:szCs w:val="24"/>
        </w:rPr>
        <w:t>Vloga za določitev letnega načrta dovolilnic in dovolilnic CEMT</w:t>
      </w:r>
      <w:r w:rsidRPr="00F134AC">
        <w:rPr>
          <w:szCs w:val="24"/>
        </w:rPr>
        <w:t xml:space="preserve"> je priložena temu obvestilu in objavljena na spletni strani. Oddate jo lahko pri delivcu </w:t>
      </w:r>
      <w:r w:rsidRPr="00F134AC">
        <w:rPr>
          <w:i/>
          <w:szCs w:val="24"/>
        </w:rPr>
        <w:t>(</w:t>
      </w:r>
      <w:r w:rsidRPr="00F134AC">
        <w:rPr>
          <w:szCs w:val="24"/>
        </w:rPr>
        <w:t>Gospodarska zbornica Slovenije, Javne listine, Dimičeva 13, 1000 Ljubljana) ali preko spletne strani (</w:t>
      </w:r>
      <w:hyperlink r:id="rId8" w:history="1">
        <w:r w:rsidRPr="00F134AC">
          <w:rPr>
            <w:rStyle w:val="Hiperpovezava"/>
            <w:szCs w:val="24"/>
          </w:rPr>
          <w:t>www.gzs.si/dovolilnice</w:t>
        </w:r>
      </w:hyperlink>
      <w:r w:rsidRPr="00F134AC">
        <w:rPr>
          <w:szCs w:val="24"/>
        </w:rPr>
        <w:t>, Zasebni podatki).</w:t>
      </w:r>
    </w:p>
    <w:p w:rsidR="00A049EB" w:rsidRPr="00F134AC" w:rsidRDefault="00A049EB" w:rsidP="00522FD0">
      <w:pPr>
        <w:rPr>
          <w:szCs w:val="24"/>
        </w:rPr>
      </w:pPr>
    </w:p>
    <w:p w:rsidR="00522FD0" w:rsidRPr="00F134AC" w:rsidRDefault="004F05D5" w:rsidP="004F05D5">
      <w:pPr>
        <w:rPr>
          <w:szCs w:val="24"/>
        </w:rPr>
      </w:pPr>
      <w:r w:rsidRPr="00F134AC">
        <w:rPr>
          <w:b/>
          <w:szCs w:val="24"/>
        </w:rPr>
        <w:t>Prevozniku, ki v navedenem roku ne vloži vloge</w:t>
      </w:r>
      <w:r w:rsidRPr="00F134AC">
        <w:rPr>
          <w:szCs w:val="24"/>
        </w:rPr>
        <w:t>, delivec letnega načrta za naslednje leto ne določi. Prepozna vloga se zavrže. P</w:t>
      </w:r>
      <w:r w:rsidR="00522FD0" w:rsidRPr="00F134AC">
        <w:rPr>
          <w:szCs w:val="24"/>
        </w:rPr>
        <w:t>revoznik, ki je že imel določen načrt</w:t>
      </w:r>
      <w:r w:rsidRPr="00F134AC">
        <w:rPr>
          <w:szCs w:val="24"/>
        </w:rPr>
        <w:t xml:space="preserve"> v tekočem letu</w:t>
      </w:r>
      <w:r w:rsidR="00522FD0" w:rsidRPr="00F134AC">
        <w:rPr>
          <w:szCs w:val="24"/>
        </w:rPr>
        <w:t xml:space="preserve">, </w:t>
      </w:r>
      <w:r w:rsidRPr="00F134AC">
        <w:rPr>
          <w:szCs w:val="24"/>
        </w:rPr>
        <w:t xml:space="preserve">se obravnava kot </w:t>
      </w:r>
      <w:r w:rsidR="00522FD0" w:rsidRPr="00F134AC">
        <w:rPr>
          <w:szCs w:val="24"/>
        </w:rPr>
        <w:t>nov</w:t>
      </w:r>
      <w:r w:rsidRPr="00F134AC">
        <w:rPr>
          <w:szCs w:val="24"/>
        </w:rPr>
        <w:t>i</w:t>
      </w:r>
      <w:r w:rsidR="00522FD0" w:rsidRPr="00F134AC">
        <w:rPr>
          <w:szCs w:val="24"/>
        </w:rPr>
        <w:t xml:space="preserve"> prevoznik in lahko </w:t>
      </w:r>
      <w:r w:rsidRPr="00F134AC">
        <w:rPr>
          <w:szCs w:val="24"/>
        </w:rPr>
        <w:t xml:space="preserve">odda vlogo </w:t>
      </w:r>
      <w:r w:rsidR="00522FD0" w:rsidRPr="00F134AC">
        <w:rPr>
          <w:szCs w:val="24"/>
        </w:rPr>
        <w:t>za določitev načrta dovolilnic v naslednjem letu</w:t>
      </w:r>
      <w:r w:rsidRPr="00F134AC">
        <w:rPr>
          <w:szCs w:val="24"/>
        </w:rPr>
        <w:t>.</w:t>
      </w:r>
    </w:p>
    <w:p w:rsidR="004F05D5" w:rsidRPr="00F134AC" w:rsidRDefault="004F05D5" w:rsidP="004F05D5">
      <w:pPr>
        <w:rPr>
          <w:szCs w:val="24"/>
        </w:rPr>
      </w:pPr>
    </w:p>
    <w:p w:rsidR="00022997" w:rsidRPr="00F134AC" w:rsidRDefault="00022997" w:rsidP="00022997">
      <w:pPr>
        <w:rPr>
          <w:szCs w:val="24"/>
        </w:rPr>
      </w:pPr>
      <w:r w:rsidRPr="00F134AC">
        <w:rPr>
          <w:b/>
          <w:szCs w:val="24"/>
        </w:rPr>
        <w:t>Kritične dovolilnice</w:t>
      </w:r>
      <w:r w:rsidRPr="00F134AC">
        <w:rPr>
          <w:szCs w:val="24"/>
        </w:rPr>
        <w:t xml:space="preserve"> se prevoznikom tekom leta ne morejo dodeliti, v kolikor prevoznik ni oddal vloge za določitev letnega načrta in nima določenega letnega načrta dodelitve dovolilnic.</w:t>
      </w:r>
    </w:p>
    <w:p w:rsidR="004F05D5" w:rsidRPr="00F134AC" w:rsidRDefault="0094538C" w:rsidP="004F05D5">
      <w:pPr>
        <w:rPr>
          <w:szCs w:val="24"/>
        </w:rPr>
      </w:pPr>
      <w:r w:rsidRPr="00F134AC">
        <w:rPr>
          <w:b/>
          <w:szCs w:val="24"/>
        </w:rPr>
        <w:t>Nekritične dovolilnice</w:t>
      </w:r>
      <w:r w:rsidRPr="00F134AC">
        <w:rPr>
          <w:szCs w:val="24"/>
        </w:rPr>
        <w:t xml:space="preserve"> iz kvote nerazdeljenih dovolilnic se delijo vsem prevoznikom glede na njihove vloge.</w:t>
      </w:r>
      <w:r w:rsidR="00022997" w:rsidRPr="00F134AC">
        <w:rPr>
          <w:szCs w:val="24"/>
        </w:rPr>
        <w:t xml:space="preserve"> Pridobite jih lahko </w:t>
      </w:r>
      <w:r w:rsidRPr="00F134AC">
        <w:rPr>
          <w:szCs w:val="24"/>
        </w:rPr>
        <w:t xml:space="preserve">tudi, če nimate </w:t>
      </w:r>
      <w:r w:rsidR="00022997" w:rsidRPr="00F134AC">
        <w:rPr>
          <w:szCs w:val="24"/>
        </w:rPr>
        <w:t>dol</w:t>
      </w:r>
      <w:r w:rsidR="00396381" w:rsidRPr="00F134AC">
        <w:rPr>
          <w:szCs w:val="24"/>
        </w:rPr>
        <w:t>o</w:t>
      </w:r>
      <w:r w:rsidR="00022997" w:rsidRPr="00F134AC">
        <w:rPr>
          <w:szCs w:val="24"/>
        </w:rPr>
        <w:t>čenega</w:t>
      </w:r>
      <w:r w:rsidRPr="00F134AC">
        <w:rPr>
          <w:szCs w:val="24"/>
        </w:rPr>
        <w:t xml:space="preserve"> letnega načrta dodelitve dovolilnic in za njih niste zaprosili z vlogo za določitev letnega načrta</w:t>
      </w:r>
      <w:r w:rsidR="00022997" w:rsidRPr="00F134AC">
        <w:rPr>
          <w:szCs w:val="24"/>
        </w:rPr>
        <w:t>.</w:t>
      </w:r>
    </w:p>
    <w:p w:rsidR="00F134AC" w:rsidRPr="00F134AC" w:rsidRDefault="00F134AC" w:rsidP="00522FD0">
      <w:pPr>
        <w:rPr>
          <w:szCs w:val="24"/>
        </w:rPr>
      </w:pPr>
    </w:p>
    <w:p w:rsidR="002D7C2B" w:rsidRPr="00F134AC" w:rsidRDefault="00022997" w:rsidP="00022997">
      <w:pPr>
        <w:rPr>
          <w:szCs w:val="24"/>
        </w:rPr>
      </w:pPr>
      <w:r w:rsidRPr="00F134AC">
        <w:rPr>
          <w:b/>
          <w:szCs w:val="24"/>
        </w:rPr>
        <w:t>Dovolilnica CEMT</w:t>
      </w:r>
      <w:r w:rsidRPr="00F134AC">
        <w:rPr>
          <w:szCs w:val="24"/>
        </w:rPr>
        <w:t xml:space="preserve"> se lahko uporablja za prevoze med državami članicami organizacije ITF in v tranzitu čez njena ozemlja. Uporabnik mora pri tem upoštevati morebitne prepovedi glede uporabe njihovega ozemlja, ki jih določajo posamezne države. </w:t>
      </w:r>
    </w:p>
    <w:p w:rsidR="002D7C2B" w:rsidRPr="00F134AC" w:rsidRDefault="00022997" w:rsidP="00022997">
      <w:pPr>
        <w:rPr>
          <w:szCs w:val="24"/>
        </w:rPr>
      </w:pPr>
      <w:r w:rsidRPr="00F134AC">
        <w:rPr>
          <w:szCs w:val="24"/>
        </w:rPr>
        <w:t xml:space="preserve">Vse dovolilnice </w:t>
      </w:r>
      <w:r w:rsidR="00522FD0" w:rsidRPr="00F134AC">
        <w:rPr>
          <w:szCs w:val="24"/>
        </w:rPr>
        <w:t>CEMT veljajo za prevoze med tretjimi državami, razen tam, kjer posamezni CEMT ne velja</w:t>
      </w:r>
      <w:r w:rsidRPr="00F134AC">
        <w:rPr>
          <w:szCs w:val="24"/>
        </w:rPr>
        <w:t>,</w:t>
      </w:r>
      <w:r w:rsidR="00522FD0" w:rsidRPr="00F134AC">
        <w:rPr>
          <w:szCs w:val="24"/>
        </w:rPr>
        <w:t xml:space="preserve"> ne morete nalagati ali razkladati in peljati v tretjo državo članico CEMT:</w:t>
      </w:r>
    </w:p>
    <w:p w:rsidR="00522FD0" w:rsidRPr="00F134AC" w:rsidRDefault="00522FD0" w:rsidP="00022997">
      <w:pPr>
        <w:numPr>
          <w:ilvl w:val="0"/>
          <w:numId w:val="9"/>
        </w:numPr>
        <w:rPr>
          <w:szCs w:val="24"/>
        </w:rPr>
      </w:pPr>
      <w:r w:rsidRPr="00F134AC">
        <w:rPr>
          <w:b/>
          <w:szCs w:val="24"/>
        </w:rPr>
        <w:t>040/CE – Avstrijski CEMT</w:t>
      </w:r>
      <w:r w:rsidR="00022997" w:rsidRPr="00F134AC">
        <w:rPr>
          <w:b/>
          <w:szCs w:val="24"/>
        </w:rPr>
        <w:t xml:space="preserve">: </w:t>
      </w:r>
      <w:r w:rsidRPr="00F134AC">
        <w:rPr>
          <w:szCs w:val="24"/>
        </w:rPr>
        <w:t>CEMT dovolilnica, ki velja v Republiki Avstriji in ne velja v Republiki Italiji,</w:t>
      </w:r>
    </w:p>
    <w:p w:rsidR="00522FD0" w:rsidRPr="00F134AC" w:rsidRDefault="00522FD0" w:rsidP="00022997">
      <w:pPr>
        <w:numPr>
          <w:ilvl w:val="0"/>
          <w:numId w:val="9"/>
        </w:numPr>
        <w:rPr>
          <w:szCs w:val="24"/>
        </w:rPr>
      </w:pPr>
      <w:r w:rsidRPr="00F134AC">
        <w:rPr>
          <w:b/>
          <w:szCs w:val="24"/>
        </w:rPr>
        <w:t xml:space="preserve">380/CE </w:t>
      </w:r>
      <w:r w:rsidRPr="00F134AC">
        <w:rPr>
          <w:szCs w:val="24"/>
        </w:rPr>
        <w:t xml:space="preserve">– </w:t>
      </w:r>
      <w:r w:rsidRPr="00F134AC">
        <w:rPr>
          <w:b/>
          <w:szCs w:val="24"/>
        </w:rPr>
        <w:t>Italijanski CEMT</w:t>
      </w:r>
      <w:r w:rsidR="00022997" w:rsidRPr="00F134AC">
        <w:rPr>
          <w:szCs w:val="24"/>
        </w:rPr>
        <w:t xml:space="preserve">: </w:t>
      </w:r>
      <w:r w:rsidRPr="00F134AC">
        <w:rPr>
          <w:szCs w:val="24"/>
        </w:rPr>
        <w:t>CEMT dovolilnica, ki velja v Republiki Italiji in ne velja v Republiki Avstriji,</w:t>
      </w:r>
    </w:p>
    <w:p w:rsidR="00522FD0" w:rsidRPr="00AA6196" w:rsidRDefault="00522FD0" w:rsidP="00022997">
      <w:pPr>
        <w:numPr>
          <w:ilvl w:val="0"/>
          <w:numId w:val="9"/>
        </w:numPr>
        <w:rPr>
          <w:b/>
          <w:szCs w:val="24"/>
        </w:rPr>
      </w:pPr>
      <w:r w:rsidRPr="00F134AC">
        <w:rPr>
          <w:b/>
          <w:szCs w:val="24"/>
        </w:rPr>
        <w:t>191/CE – CEMT za tretje države</w:t>
      </w:r>
      <w:r w:rsidR="00022997" w:rsidRPr="00F134AC">
        <w:rPr>
          <w:b/>
          <w:szCs w:val="24"/>
        </w:rPr>
        <w:t>:</w:t>
      </w:r>
      <w:r w:rsidRPr="00F134AC">
        <w:rPr>
          <w:szCs w:val="24"/>
        </w:rPr>
        <w:t xml:space="preserve"> CEMT dovolilnica, ki ne velja v Republiki Avstriji in Republiki Italiji.</w:t>
      </w:r>
    </w:p>
    <w:p w:rsidR="00AA6196" w:rsidRPr="00AA6196" w:rsidRDefault="00AA6196" w:rsidP="00AA6196">
      <w:pPr>
        <w:rPr>
          <w:bCs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</w:t>
      </w:r>
      <w:r w:rsidRPr="00AA6196">
        <w:rPr>
          <w:bCs/>
          <w:szCs w:val="24"/>
        </w:rPr>
        <w:t>Javne listine</w:t>
      </w:r>
    </w:p>
    <w:p w:rsidR="00F134AC" w:rsidRPr="00AA6196" w:rsidRDefault="009D0247" w:rsidP="00522FD0">
      <w:pPr>
        <w:rPr>
          <w:b/>
          <w:bCs/>
          <w:sz w:val="22"/>
          <w:szCs w:val="22"/>
          <w:u w:val="single"/>
        </w:rPr>
      </w:pPr>
      <w:r w:rsidRPr="00AA6196">
        <w:rPr>
          <w:b/>
          <w:bCs/>
          <w:sz w:val="22"/>
          <w:szCs w:val="22"/>
          <w:u w:val="single"/>
        </w:rPr>
        <w:t>Priloga: Vloga za d</w:t>
      </w:r>
      <w:bookmarkStart w:id="0" w:name="_GoBack"/>
      <w:bookmarkEnd w:id="0"/>
      <w:r w:rsidRPr="00AA6196">
        <w:rPr>
          <w:b/>
          <w:bCs/>
          <w:sz w:val="22"/>
          <w:szCs w:val="22"/>
          <w:u w:val="single"/>
        </w:rPr>
        <w:t>oločitev letnega načrta dovolilnic za leto 2021</w:t>
      </w:r>
      <w:r w:rsidRPr="00AA6196">
        <w:rPr>
          <w:b/>
          <w:bCs/>
          <w:sz w:val="22"/>
          <w:szCs w:val="22"/>
          <w:u w:val="single"/>
        </w:rPr>
        <w:t xml:space="preserve"> </w:t>
      </w:r>
    </w:p>
    <w:sectPr w:rsidR="00F134AC" w:rsidRPr="00AA6196" w:rsidSect="008D0672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B6C" w:rsidRDefault="00496B6C">
      <w:r>
        <w:separator/>
      </w:r>
    </w:p>
  </w:endnote>
  <w:endnote w:type="continuationSeparator" w:id="0">
    <w:p w:rsidR="00496B6C" w:rsidRDefault="0049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A7132F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B6C" w:rsidRDefault="00496B6C">
      <w:r>
        <w:separator/>
      </w:r>
    </w:p>
  </w:footnote>
  <w:footnote w:type="continuationSeparator" w:id="0">
    <w:p w:rsidR="00496B6C" w:rsidRDefault="0049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64D2F" w:rsidRPr="00150783" w:rsidRDefault="00522FD0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:rsidR="00482164" w:rsidRPr="00150783" w:rsidRDefault="00464D2F" w:rsidP="00464D2F">
    <w:pPr>
      <w:ind w:left="-1134" w:right="-1276"/>
      <w:rPr>
        <w:rFonts w:ascii="Verdana" w:hAnsi="Verdana" w:cs="Tahoma"/>
        <w:sz w:val="14"/>
        <w:szCs w:val="14"/>
      </w:rPr>
    </w:pPr>
    <w:bookmarkStart w:id="1" w:name="_Hlk523126430"/>
    <w:r w:rsidRPr="00150783">
      <w:rPr>
        <w:rFonts w:ascii="Verdana" w:hAnsi="Verdana" w:cs="Tahoma"/>
        <w:noProof/>
        <w:sz w:val="14"/>
        <w:szCs w:val="14"/>
      </w:rPr>
      <w:t>Dimičeva 13</w:t>
    </w:r>
    <w:r w:rsidRPr="00150783">
      <w:rPr>
        <w:rFonts w:ascii="Verdana" w:hAnsi="Verdana" w:cs="Tahoma"/>
        <w:sz w:val="14"/>
        <w:szCs w:val="14"/>
      </w:rPr>
      <w:t xml:space="preserve"> </w:t>
    </w:r>
    <w:r w:rsidRPr="00150783">
      <w:rPr>
        <w:rFonts w:ascii="Verdana" w:hAnsi="Verdana" w:cs="Tahoma"/>
        <w:sz w:val="12"/>
        <w:szCs w:val="12"/>
      </w:rPr>
      <w:sym w:font="Wingdings" w:char="F06E"/>
    </w:r>
    <w:r w:rsidRPr="00150783">
      <w:rPr>
        <w:rFonts w:ascii="Verdana" w:hAnsi="Verdana" w:cs="Tahoma"/>
        <w:sz w:val="14"/>
        <w:szCs w:val="14"/>
      </w:rPr>
      <w:t xml:space="preserve"> </w:t>
    </w:r>
    <w:r w:rsidRPr="00150783">
      <w:rPr>
        <w:rFonts w:ascii="Verdana" w:hAnsi="Verdana" w:cs="Tahoma"/>
        <w:noProof/>
        <w:sz w:val="14"/>
        <w:szCs w:val="14"/>
      </w:rPr>
      <w:t>1</w:t>
    </w:r>
    <w:r w:rsidR="00AC51DA">
      <w:rPr>
        <w:rFonts w:ascii="Verdana" w:hAnsi="Verdana" w:cs="Tahoma"/>
        <w:noProof/>
        <w:sz w:val="14"/>
        <w:szCs w:val="14"/>
      </w:rPr>
      <w:t>000</w:t>
    </w:r>
    <w:r w:rsidRPr="00150783">
      <w:rPr>
        <w:rFonts w:ascii="Verdana" w:hAnsi="Verdana" w:cs="Tahoma"/>
        <w:noProof/>
        <w:sz w:val="14"/>
        <w:szCs w:val="14"/>
      </w:rPr>
      <w:t xml:space="preserve"> Ljubljana</w:t>
    </w:r>
    <w:r w:rsidRPr="00150783">
      <w:rPr>
        <w:rFonts w:ascii="Verdana" w:hAnsi="Verdana" w:cs="Tahoma"/>
        <w:sz w:val="14"/>
        <w:szCs w:val="14"/>
      </w:rPr>
      <w:t xml:space="preserve"> </w:t>
    </w:r>
    <w:r w:rsidRPr="00150783">
      <w:rPr>
        <w:rFonts w:ascii="Verdana" w:hAnsi="Verdana" w:cs="Tahoma"/>
        <w:sz w:val="12"/>
        <w:szCs w:val="12"/>
      </w:rPr>
      <w:sym w:font="Wingdings" w:char="F06E"/>
    </w:r>
    <w:r w:rsidRPr="00150783">
      <w:rPr>
        <w:rFonts w:ascii="Verdana" w:hAnsi="Verdana" w:cs="Tahoma"/>
        <w:sz w:val="14"/>
        <w:szCs w:val="14"/>
      </w:rPr>
      <w:t xml:space="preserve"> T: </w:t>
    </w:r>
    <w:r w:rsidR="00522FD0" w:rsidRPr="00150783">
      <w:rPr>
        <w:rFonts w:ascii="Verdana" w:hAnsi="Verdana" w:cs="Tahoma"/>
        <w:noProof/>
        <w:sz w:val="14"/>
        <w:szCs w:val="14"/>
      </w:rPr>
      <w:t>(01) 58 98 271</w:t>
    </w:r>
    <w:r w:rsidRPr="00150783">
      <w:rPr>
        <w:rFonts w:ascii="Verdana" w:hAnsi="Verdana" w:cs="Tahoma"/>
        <w:sz w:val="14"/>
        <w:szCs w:val="14"/>
      </w:rPr>
      <w:t xml:space="preserve">  </w:t>
    </w:r>
    <w:r w:rsidRPr="00150783">
      <w:rPr>
        <w:rFonts w:ascii="Verdana" w:hAnsi="Verdana" w:cs="Tahoma"/>
        <w:sz w:val="12"/>
        <w:szCs w:val="12"/>
      </w:rPr>
      <w:sym w:font="Wingdings" w:char="F06E"/>
    </w:r>
    <w:r w:rsidRPr="00150783">
      <w:rPr>
        <w:rFonts w:ascii="Verdana" w:hAnsi="Verdana" w:cs="Tahoma"/>
        <w:sz w:val="14"/>
        <w:szCs w:val="14"/>
      </w:rPr>
      <w:t xml:space="preserve"> </w:t>
    </w:r>
    <w:r w:rsidRPr="00150783">
      <w:rPr>
        <w:rFonts w:ascii="Verdana" w:hAnsi="Verdana" w:cs="Tahoma"/>
        <w:noProof/>
        <w:sz w:val="14"/>
        <w:szCs w:val="14"/>
      </w:rPr>
      <w:t>www.gzs.si</w:t>
    </w:r>
    <w:r w:rsidR="00150783" w:rsidRPr="00150783">
      <w:rPr>
        <w:rFonts w:ascii="Verdana" w:hAnsi="Verdana" w:cs="Tahoma"/>
        <w:noProof/>
        <w:sz w:val="14"/>
        <w:szCs w:val="14"/>
      </w:rPr>
      <w:t>/dovolilnice</w:t>
    </w:r>
  </w:p>
  <w:bookmarkEnd w:id="1"/>
  <w:p w:rsidR="00202F39" w:rsidRPr="008B4EC5" w:rsidRDefault="00202F39" w:rsidP="00522FD0">
    <w:pPr>
      <w:pStyle w:val="Glava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50FD"/>
    <w:multiLevelType w:val="hybridMultilevel"/>
    <w:tmpl w:val="5F0E27A8"/>
    <w:lvl w:ilvl="0" w:tplc="57CE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E0526"/>
    <w:multiLevelType w:val="hybridMultilevel"/>
    <w:tmpl w:val="4EF8D6BE"/>
    <w:lvl w:ilvl="0" w:tplc="57CEF0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57CEF0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6" w15:restartNumberingAfterBreak="0">
    <w:nsid w:val="5C5029F2"/>
    <w:multiLevelType w:val="hybridMultilevel"/>
    <w:tmpl w:val="AAF626CC"/>
    <w:lvl w:ilvl="0" w:tplc="57CEF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4C"/>
    <w:rsid w:val="00004377"/>
    <w:rsid w:val="00004589"/>
    <w:rsid w:val="00022997"/>
    <w:rsid w:val="00030DC9"/>
    <w:rsid w:val="000A1883"/>
    <w:rsid w:val="000D6C66"/>
    <w:rsid w:val="00150783"/>
    <w:rsid w:val="00202F39"/>
    <w:rsid w:val="00243274"/>
    <w:rsid w:val="002D7C2B"/>
    <w:rsid w:val="002E4855"/>
    <w:rsid w:val="003165CC"/>
    <w:rsid w:val="00323AC0"/>
    <w:rsid w:val="0038493C"/>
    <w:rsid w:val="00396381"/>
    <w:rsid w:val="003B540C"/>
    <w:rsid w:val="00464D2F"/>
    <w:rsid w:val="00482164"/>
    <w:rsid w:val="00496B6C"/>
    <w:rsid w:val="004D2AD9"/>
    <w:rsid w:val="004F05D5"/>
    <w:rsid w:val="00522FD0"/>
    <w:rsid w:val="00525F73"/>
    <w:rsid w:val="005C559A"/>
    <w:rsid w:val="005E78DA"/>
    <w:rsid w:val="00675AAE"/>
    <w:rsid w:val="006844CB"/>
    <w:rsid w:val="006B7736"/>
    <w:rsid w:val="007505BA"/>
    <w:rsid w:val="00766034"/>
    <w:rsid w:val="007701A0"/>
    <w:rsid w:val="00812609"/>
    <w:rsid w:val="008206C4"/>
    <w:rsid w:val="00847386"/>
    <w:rsid w:val="00852CE0"/>
    <w:rsid w:val="008A0D4C"/>
    <w:rsid w:val="008B4EC5"/>
    <w:rsid w:val="008D0672"/>
    <w:rsid w:val="009168A1"/>
    <w:rsid w:val="0094538C"/>
    <w:rsid w:val="00955084"/>
    <w:rsid w:val="009A3004"/>
    <w:rsid w:val="009D0247"/>
    <w:rsid w:val="009F7C62"/>
    <w:rsid w:val="00A049EB"/>
    <w:rsid w:val="00A05707"/>
    <w:rsid w:val="00A21A9E"/>
    <w:rsid w:val="00A24360"/>
    <w:rsid w:val="00A45518"/>
    <w:rsid w:val="00A60119"/>
    <w:rsid w:val="00A7132F"/>
    <w:rsid w:val="00AA6196"/>
    <w:rsid w:val="00AC51DA"/>
    <w:rsid w:val="00B42E88"/>
    <w:rsid w:val="00B541F0"/>
    <w:rsid w:val="00B96815"/>
    <w:rsid w:val="00BC7D30"/>
    <w:rsid w:val="00C04387"/>
    <w:rsid w:val="00C35D40"/>
    <w:rsid w:val="00D15C81"/>
    <w:rsid w:val="00D579DB"/>
    <w:rsid w:val="00D86592"/>
    <w:rsid w:val="00DF3EBA"/>
    <w:rsid w:val="00E12140"/>
    <w:rsid w:val="00F134AC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9A2B5B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22FD0"/>
    <w:pPr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ind w:left="357" w:hanging="357"/>
    </w:pPr>
  </w:style>
  <w:style w:type="paragraph" w:styleId="Oznaenseznam2">
    <w:name w:val="List Bullet 2"/>
    <w:basedOn w:val="Navaden"/>
    <w:pPr>
      <w:numPr>
        <w:numId w:val="1"/>
      </w:numPr>
    </w:pPr>
  </w:style>
  <w:style w:type="paragraph" w:styleId="Oznaenseznam3">
    <w:name w:val="List Bullet 3"/>
    <w:basedOn w:val="Navaden"/>
    <w:pPr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spacing w:before="240"/>
    </w:pPr>
  </w:style>
  <w:style w:type="paragraph" w:customStyle="1" w:styleId="Vabilo">
    <w:name w:val="Vabilo"/>
    <w:basedOn w:val="Navaden"/>
    <w:next w:val="Navaden"/>
    <w:pPr>
      <w:spacing w:before="1440" w:after="480"/>
      <w:jc w:val="left"/>
    </w:pPr>
    <w:rPr>
      <w:b/>
      <w:sz w:val="28"/>
    </w:rPr>
  </w:style>
  <w:style w:type="paragraph" w:styleId="Besedilooblaka">
    <w:name w:val="Balloon Text"/>
    <w:basedOn w:val="Navaden"/>
    <w:link w:val="BesedilooblakaZnak"/>
    <w:rsid w:val="00522FD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22FD0"/>
    <w:rPr>
      <w:rFonts w:ascii="Segoe UI" w:hAnsi="Segoe UI" w:cs="Segoe UI"/>
      <w:sz w:val="18"/>
      <w:szCs w:val="18"/>
      <w:lang w:eastAsia="en-US"/>
    </w:rPr>
  </w:style>
  <w:style w:type="character" w:styleId="Hiperpovezava">
    <w:name w:val="Hyperlink"/>
    <w:basedOn w:val="Privzetapisavaodstavka"/>
    <w:rsid w:val="00150783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50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dovolilni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01717B-F079-4910-B06D-0DA5A2D5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Katja Končan</cp:lastModifiedBy>
  <cp:revision>8</cp:revision>
  <cp:lastPrinted>2020-08-25T13:15:00Z</cp:lastPrinted>
  <dcterms:created xsi:type="dcterms:W3CDTF">2018-08-27T08:39:00Z</dcterms:created>
  <dcterms:modified xsi:type="dcterms:W3CDTF">2020-08-25T13:17:00Z</dcterms:modified>
</cp:coreProperties>
</file>